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04" w:rsidRDefault="00CB7F04" w:rsidP="00CB7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04">
        <w:rPr>
          <w:rFonts w:ascii="Times New Roman" w:hAnsi="Times New Roman" w:cs="Times New Roman"/>
          <w:b/>
          <w:sz w:val="24"/>
          <w:szCs w:val="24"/>
        </w:rPr>
        <w:t xml:space="preserve">Приложение 19 </w:t>
      </w:r>
    </w:p>
    <w:p w:rsidR="00CB7F04" w:rsidRPr="00CB7F04" w:rsidRDefault="00CB7F04" w:rsidP="00CB7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04">
        <w:rPr>
          <w:rFonts w:ascii="Times New Roman" w:hAnsi="Times New Roman" w:cs="Times New Roman"/>
          <w:b/>
          <w:sz w:val="24"/>
          <w:szCs w:val="24"/>
        </w:rPr>
        <w:t>к приказу Департамента жилищно-коммунального комплекса и энергетики Ханты-Мансийского автономного округа - Югры от 9 декабря 2013 года N 26-нп</w:t>
      </w:r>
    </w:p>
    <w:p w:rsidR="00CB7F04" w:rsidRPr="00CB7F04" w:rsidRDefault="00CB7F04" w:rsidP="00CB7F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F04" w:rsidRPr="00CB7F04" w:rsidRDefault="00CB7F04" w:rsidP="00CB7F04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4">
        <w:rPr>
          <w:rFonts w:ascii="Times New Roman" w:hAnsi="Times New Roman" w:cs="Times New Roman"/>
          <w:sz w:val="24"/>
          <w:szCs w:val="24"/>
        </w:rPr>
        <w:t xml:space="preserve">НОРМАТИВЫ ПОТРЕБЛЕНИЯ КОММУНАЛЬНЫХ УСЛУГ ПО ОТОПЛЕНИЮ, ПРИМЕНЯЕМЫЕ ДЛЯ РАСЧЕТА РАЗМЕРА ПЛАТЫ ЗА КОММУНАЛЬНУЮ УСЛУГУ </w:t>
      </w:r>
      <w:r w:rsidRPr="00CB7F04">
        <w:rPr>
          <w:rFonts w:ascii="Times New Roman" w:hAnsi="Times New Roman" w:cs="Times New Roman"/>
          <w:b/>
          <w:sz w:val="24"/>
          <w:szCs w:val="24"/>
        </w:rPr>
        <w:t>ПРИ</w:t>
      </w:r>
      <w:r w:rsidRPr="00CB7F0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CB7F04">
        <w:rPr>
          <w:rFonts w:ascii="Times New Roman" w:hAnsi="Times New Roman" w:cs="Times New Roman"/>
          <w:b/>
          <w:sz w:val="24"/>
          <w:szCs w:val="24"/>
        </w:rPr>
        <w:t>ТСУТСТВИИ ПРИБОРОВ УЧЕТА</w:t>
      </w:r>
      <w:r w:rsidRPr="00CB7F0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ОКТЯБРЬСКИЙ РАЙОН ХАНТЫ- МАНСИЙСКОГО АВТОНОМНОГО ОКРУГА </w:t>
      </w:r>
      <w:r w:rsidRPr="00CB7F04">
        <w:rPr>
          <w:rFonts w:ascii="Times New Roman" w:hAnsi="Times New Roman" w:cs="Times New Roman"/>
          <w:sz w:val="24"/>
          <w:szCs w:val="24"/>
        </w:rPr>
        <w:t>–</w:t>
      </w:r>
      <w:r w:rsidRPr="00CB7F04">
        <w:rPr>
          <w:rFonts w:ascii="Times New Roman" w:hAnsi="Times New Roman" w:cs="Times New Roman"/>
          <w:sz w:val="24"/>
          <w:szCs w:val="24"/>
        </w:rPr>
        <w:t xml:space="preserve"> ЮГРЫ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7F04" w:rsidTr="00CB7F04">
        <w:tc>
          <w:tcPr>
            <w:tcW w:w="3115" w:type="dxa"/>
            <w:vMerge w:val="restart"/>
            <w:vAlign w:val="center"/>
          </w:tcPr>
          <w:p w:rsid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Категории жилых домов</w:t>
            </w:r>
          </w:p>
        </w:tc>
        <w:tc>
          <w:tcPr>
            <w:tcW w:w="3115" w:type="dxa"/>
            <w:vAlign w:val="center"/>
          </w:tcPr>
          <w:p w:rsidR="00CB7F04" w:rsidRDefault="00CB7F04" w:rsidP="00CB7F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ройки до 1999 года включительно</w:t>
            </w:r>
          </w:p>
        </w:tc>
        <w:tc>
          <w:tcPr>
            <w:tcW w:w="3115" w:type="dxa"/>
            <w:vAlign w:val="center"/>
          </w:tcPr>
          <w:p w:rsid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после 1999 года</w:t>
            </w:r>
          </w:p>
        </w:tc>
      </w:tr>
      <w:tr w:rsidR="00CB7F04" w:rsidTr="00CB7F04">
        <w:tc>
          <w:tcPr>
            <w:tcW w:w="3115" w:type="dxa"/>
            <w:vMerge/>
          </w:tcPr>
          <w:p w:rsidR="00CB7F04" w:rsidRDefault="00CB7F04" w:rsidP="00CB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7F04" w:rsidRDefault="00CB7F04" w:rsidP="00CB7F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Для жилых и нежилых помещений, Гкал на 1 м2 общей площади всех помещений в многоквартир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доме или жилом доме в месяц</w:t>
            </w:r>
          </w:p>
        </w:tc>
        <w:tc>
          <w:tcPr>
            <w:tcW w:w="3115" w:type="dxa"/>
            <w:vAlign w:val="center"/>
          </w:tcPr>
          <w:p w:rsid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Для жилых и нежилых помещений, Гкал на 1 м2 общей площади всех помещений в многоквартир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доме или жилом доме в месяц</w:t>
            </w:r>
          </w:p>
        </w:tc>
      </w:tr>
      <w:tr w:rsidR="00CB7F04" w:rsidTr="00CB7F04">
        <w:trPr>
          <w:trHeight w:val="340"/>
        </w:trPr>
        <w:tc>
          <w:tcPr>
            <w:tcW w:w="3115" w:type="dxa"/>
            <w:vAlign w:val="center"/>
          </w:tcPr>
          <w:p w:rsidR="00CB7F04" w:rsidRDefault="00CB7F04" w:rsidP="00CB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1-этажные жилые дома</w:t>
            </w:r>
          </w:p>
        </w:tc>
        <w:tc>
          <w:tcPr>
            <w:tcW w:w="3115" w:type="dxa"/>
            <w:vAlign w:val="center"/>
          </w:tcPr>
          <w:p w:rsidR="00CB7F04" w:rsidRP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0,0263</w:t>
            </w:r>
          </w:p>
        </w:tc>
        <w:tc>
          <w:tcPr>
            <w:tcW w:w="3115" w:type="dxa"/>
            <w:vAlign w:val="center"/>
          </w:tcPr>
          <w:p w:rsidR="00CB7F04" w:rsidRP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0,0167</w:t>
            </w:r>
          </w:p>
        </w:tc>
      </w:tr>
      <w:tr w:rsidR="00CB7F04" w:rsidTr="00CB7F04">
        <w:trPr>
          <w:trHeight w:val="340"/>
        </w:trPr>
        <w:tc>
          <w:tcPr>
            <w:tcW w:w="3115" w:type="dxa"/>
            <w:vAlign w:val="center"/>
          </w:tcPr>
          <w:p w:rsidR="00CB7F04" w:rsidRDefault="00CB7F04" w:rsidP="00CB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2-этажные жилые дома</w:t>
            </w:r>
          </w:p>
        </w:tc>
        <w:tc>
          <w:tcPr>
            <w:tcW w:w="3115" w:type="dxa"/>
            <w:vAlign w:val="center"/>
          </w:tcPr>
          <w:p w:rsidR="00CB7F04" w:rsidRP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0,0263</w:t>
            </w:r>
          </w:p>
        </w:tc>
        <w:tc>
          <w:tcPr>
            <w:tcW w:w="3115" w:type="dxa"/>
            <w:vAlign w:val="center"/>
          </w:tcPr>
          <w:p w:rsidR="00CB7F04" w:rsidRP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0,0143</w:t>
            </w:r>
          </w:p>
        </w:tc>
      </w:tr>
      <w:tr w:rsidR="00CB7F04" w:rsidTr="00CB7F04">
        <w:trPr>
          <w:trHeight w:val="340"/>
        </w:trPr>
        <w:tc>
          <w:tcPr>
            <w:tcW w:w="3115" w:type="dxa"/>
            <w:vAlign w:val="center"/>
          </w:tcPr>
          <w:p w:rsidR="00CB7F04" w:rsidRDefault="00CB7F04" w:rsidP="00CB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3-этажные жилые дома</w:t>
            </w:r>
          </w:p>
        </w:tc>
        <w:tc>
          <w:tcPr>
            <w:tcW w:w="3115" w:type="dxa"/>
            <w:vAlign w:val="center"/>
          </w:tcPr>
          <w:p w:rsidR="00CB7F04" w:rsidRP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  <w:vAlign w:val="center"/>
          </w:tcPr>
          <w:p w:rsidR="00CB7F04" w:rsidRP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0,0140</w:t>
            </w:r>
          </w:p>
        </w:tc>
      </w:tr>
      <w:tr w:rsidR="00CB7F04" w:rsidTr="00CB7F04">
        <w:trPr>
          <w:trHeight w:val="340"/>
        </w:trPr>
        <w:tc>
          <w:tcPr>
            <w:tcW w:w="3115" w:type="dxa"/>
            <w:vAlign w:val="center"/>
          </w:tcPr>
          <w:p w:rsidR="00CB7F04" w:rsidRDefault="00CB7F04" w:rsidP="00CB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3 - 4-этажные жилые дома</w:t>
            </w:r>
          </w:p>
        </w:tc>
        <w:tc>
          <w:tcPr>
            <w:tcW w:w="3115" w:type="dxa"/>
            <w:vAlign w:val="center"/>
          </w:tcPr>
          <w:p w:rsidR="00CB7F04" w:rsidRP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0,0224</w:t>
            </w:r>
          </w:p>
        </w:tc>
        <w:tc>
          <w:tcPr>
            <w:tcW w:w="3115" w:type="dxa"/>
            <w:vAlign w:val="center"/>
          </w:tcPr>
          <w:p w:rsidR="00CB7F04" w:rsidRP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F04" w:rsidTr="00CB7F04">
        <w:trPr>
          <w:trHeight w:val="340"/>
        </w:trPr>
        <w:tc>
          <w:tcPr>
            <w:tcW w:w="3115" w:type="dxa"/>
            <w:vAlign w:val="center"/>
          </w:tcPr>
          <w:p w:rsidR="00CB7F04" w:rsidRDefault="00CB7F04" w:rsidP="00CB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4 - 5-этажные жилые дома</w:t>
            </w:r>
          </w:p>
        </w:tc>
        <w:tc>
          <w:tcPr>
            <w:tcW w:w="3115" w:type="dxa"/>
            <w:vAlign w:val="center"/>
          </w:tcPr>
          <w:p w:rsidR="00CB7F04" w:rsidRP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  <w:vAlign w:val="center"/>
          </w:tcPr>
          <w:p w:rsidR="00CB7F04" w:rsidRP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0,0121</w:t>
            </w:r>
          </w:p>
        </w:tc>
      </w:tr>
      <w:tr w:rsidR="00CB7F04" w:rsidTr="00CB7F04">
        <w:trPr>
          <w:trHeight w:val="340"/>
        </w:trPr>
        <w:tc>
          <w:tcPr>
            <w:tcW w:w="3115" w:type="dxa"/>
            <w:vAlign w:val="center"/>
          </w:tcPr>
          <w:p w:rsidR="00CB7F04" w:rsidRDefault="00CB7F04" w:rsidP="00CB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5 - 9-этажные жилые дома</w:t>
            </w:r>
          </w:p>
        </w:tc>
        <w:tc>
          <w:tcPr>
            <w:tcW w:w="3115" w:type="dxa"/>
            <w:vAlign w:val="center"/>
          </w:tcPr>
          <w:p w:rsidR="00CB7F04" w:rsidRP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04">
              <w:rPr>
                <w:rFonts w:ascii="Times New Roman" w:hAnsi="Times New Roman" w:cs="Times New Roman"/>
                <w:sz w:val="24"/>
                <w:szCs w:val="24"/>
              </w:rPr>
              <w:t>0,0194</w:t>
            </w:r>
          </w:p>
        </w:tc>
        <w:tc>
          <w:tcPr>
            <w:tcW w:w="3115" w:type="dxa"/>
            <w:vAlign w:val="center"/>
          </w:tcPr>
          <w:p w:rsidR="00CB7F04" w:rsidRPr="00CB7F04" w:rsidRDefault="00CB7F04" w:rsidP="00C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F04" w:rsidRDefault="00CB7F04" w:rsidP="00CB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04" w:rsidRPr="00CB7F04" w:rsidRDefault="00CB7F04" w:rsidP="00CB7F04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4">
        <w:rPr>
          <w:rFonts w:ascii="Times New Roman" w:hAnsi="Times New Roman" w:cs="Times New Roman"/>
          <w:sz w:val="24"/>
          <w:szCs w:val="24"/>
        </w:rPr>
        <w:t>Примечание:</w:t>
      </w:r>
    </w:p>
    <w:p w:rsidR="00CB7F04" w:rsidRPr="00CB7F04" w:rsidRDefault="00CB7F04" w:rsidP="00CB7F04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4">
        <w:rPr>
          <w:rFonts w:ascii="Times New Roman" w:hAnsi="Times New Roman" w:cs="Times New Roman"/>
          <w:sz w:val="24"/>
          <w:szCs w:val="24"/>
        </w:rPr>
        <w:t>1. Нормативы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CB7F04" w:rsidRPr="00CB7F04" w:rsidRDefault="00CB7F04" w:rsidP="00CB7F04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4">
        <w:rPr>
          <w:rFonts w:ascii="Times New Roman" w:hAnsi="Times New Roman" w:cs="Times New Roman"/>
          <w:sz w:val="24"/>
          <w:szCs w:val="24"/>
        </w:rPr>
        <w:t>2. Установленные нормативы разработаны с применением расчетного метода установления нормативов потребления коммунальных услуг.</w:t>
      </w:r>
    </w:p>
    <w:p w:rsidR="00CB7F04" w:rsidRPr="00CB7F04" w:rsidRDefault="00CB7F04" w:rsidP="00CB7F04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4">
        <w:rPr>
          <w:rFonts w:ascii="Times New Roman" w:hAnsi="Times New Roman" w:cs="Times New Roman"/>
          <w:sz w:val="24"/>
          <w:szCs w:val="24"/>
        </w:rPr>
        <w:t>3. Установленные нормативы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872C4E" w:rsidRDefault="00CB7F04" w:rsidP="00CB7F04">
      <w:pPr>
        <w:jc w:val="both"/>
      </w:pPr>
      <w:r w:rsidRPr="00CB7F04">
        <w:rPr>
          <w:rFonts w:ascii="Times New Roman" w:hAnsi="Times New Roman" w:cs="Times New Roman"/>
          <w:sz w:val="24"/>
          <w:szCs w:val="24"/>
        </w:rPr>
        <w:t>4. Взимание платы за потребленную коммунальную услугу с использованием установленных нормативов осуществляется в течение календарного года равными долями за каждый месяц.</w:t>
      </w:r>
    </w:p>
    <w:sectPr w:rsidR="0087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F0"/>
    <w:rsid w:val="00872C4E"/>
    <w:rsid w:val="00CB7F04"/>
    <w:rsid w:val="00E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E480F-3737-445A-B218-51BFB1E1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2017-02-17T04:10:00Z</dcterms:created>
  <dcterms:modified xsi:type="dcterms:W3CDTF">2017-02-17T04:18:00Z</dcterms:modified>
</cp:coreProperties>
</file>